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A1" w:rsidRDefault="00352BA0" w:rsidP="00352BA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352BA0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Постановление Правительства РФ от 31.03.2009 N 289 </w:t>
      </w:r>
    </w:p>
    <w:p w:rsidR="005046A1" w:rsidRPr="005046A1" w:rsidRDefault="00352BA0" w:rsidP="00352BA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352BA0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(ред. от 30.11.2016) 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352BA0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"Об утверждении Правил аккредитации юридических лиц для проведения оценки уязвимости объектов транспортной инфраструктуры и транспортных средств"</w:t>
      </w:r>
    </w:p>
    <w:p w:rsidR="00352BA0" w:rsidRDefault="00352BA0" w:rsidP="00352B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0" w:name="100001"/>
      <w:bookmarkStart w:id="1" w:name="100004"/>
      <w:bookmarkEnd w:id="0"/>
      <w:bookmarkEnd w:id="1"/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со </w:t>
      </w:r>
      <w:hyperlink r:id="rId4" w:anchor="100017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 Правительство Российской Федерации постановляет: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Утвердить прилагаемые </w:t>
      </w:r>
      <w:hyperlink r:id="rId5" w:anchor="100008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аккредитации юридических лиц для проведения оценки уязвимости объектов транспортной инфраструктуры и транспортных средств.</w:t>
      </w:r>
    </w:p>
    <w:p w:rsid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3" w:name="100006"/>
      <w:bookmarkEnd w:id="3"/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от 31 марта 2009 г. N 289</w:t>
      </w:r>
    </w:p>
    <w:p w:rsidR="00352BA0" w:rsidRDefault="00352BA0" w:rsidP="00352B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 w:val="0"/>
          <w:kern w:val="0"/>
          <w:sz w:val="24"/>
          <w:szCs w:val="24"/>
          <w:lang w:eastAsia="ru-RU"/>
        </w:rPr>
      </w:pPr>
      <w:bookmarkStart w:id="5" w:name="100008"/>
      <w:bookmarkEnd w:id="5"/>
    </w:p>
    <w:p w:rsidR="00352BA0" w:rsidRDefault="00352BA0" w:rsidP="00352B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 w:val="0"/>
          <w:kern w:val="0"/>
          <w:sz w:val="24"/>
          <w:szCs w:val="24"/>
          <w:lang w:eastAsia="ru-RU"/>
        </w:rPr>
      </w:pP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352BA0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ПРАВИЛА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352BA0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АККРЕДИТАЦИИ ЮРИДИЧЕСКИХ ЛИЦ ДЛЯ ПРОВЕДЕНИЯ</w:t>
      </w:r>
      <w:r w:rsidR="007E6163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</w:t>
      </w:r>
      <w:r w:rsidRPr="00352BA0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ОЦЕНКИ УЯЗВИМОСТИ ОБЪЕКТОВ ТРАНСПОРТНОЙ ИНФРАСТРУКТУРЫ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 w:val="0"/>
          <w:kern w:val="0"/>
          <w:sz w:val="24"/>
          <w:szCs w:val="24"/>
          <w:lang w:eastAsia="ru-RU"/>
        </w:rPr>
      </w:pPr>
      <w:r w:rsidRPr="00352BA0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И ТРАНСПОРТНЫХ СРЕДСТВ</w:t>
      </w:r>
    </w:p>
    <w:p w:rsid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</w:p>
    <w:p w:rsid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I. Общие положения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устанавливают порядок аккредитации юридических лиц (далее - организация) на проведение оценки уязвимости объектов транспортной инфраструктуры и транспортных средств (далее соответственно - аккредитация, оценка уязвимости объектов).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2. Термины и определения, используемые в настоящих Правилах, применяются в значениях, установленных Федеральным </w:t>
      </w:r>
      <w:hyperlink r:id="rId6" w:anchor="100008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"О транспортной безопасности".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3. Аккредитация организации, осуществляемая с целью определения способности организации проводить оценку уязвимости объектов в области конкретного вида транспорта, а также дорожного хозяйства, проводится федеральными органами исполнительной власти, уполномоченными Правительством Российской Федерации осуществлять функции по оказанию </w:t>
      </w: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государственных услуг в области обеспечения транспортной безопасности (далее - компетентный орган).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4. Документом, подтверждающим способность организации проводить оценку уязвимости объектов, является выдаваемое компетентным органом свидетельство об аккредитации организации на проведение оценки уязвимости объектов (далее - свидетельство об аккредитации) по форме согласно </w:t>
      </w:r>
      <w:hyperlink r:id="rId7" w:anchor="100085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приложению N 1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, подписанное руководителем компетентного органа (либо уполномоченным им лицом) и заверенное гербовой печатью компетентного органа.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5. Сведения об организации, прошедшей аккредитацию (далее - специализированная организация), включаются в реестр аккредитованных организаций на проведение оценки уязвимости объектов (далее - реестр), ведение которого осуществляет компетентный орган в порядке, устанавливаемом Министерством транспорта Российской Федерации.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6. Включению в реестр подлежат следующие сведения: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6"/>
      <w:bookmarkEnd w:id="1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а) полное наименование специализированной организации;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б) место нахождения специализированной организации;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в) наименование компетентного органа, выдавшего свидетельство об аккредитации;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9"/>
      <w:bookmarkEnd w:id="16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г) номер по реестру (реестровый номер);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0"/>
      <w:bookmarkEnd w:id="17"/>
      <w:proofErr w:type="spell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) дата внесения в реестр;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1"/>
      <w:bookmarkEnd w:id="1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е) номер свидетельства об аккредитации;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2"/>
      <w:bookmarkEnd w:id="19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ж) дата выдачи свидетельства об аккредитации;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3"/>
      <w:bookmarkEnd w:id="20"/>
      <w:proofErr w:type="spell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) дата продления свидетельства об аккредитации;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4"/>
      <w:bookmarkEnd w:id="2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и) дата аннулирования свидетельства об аккредитации;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5"/>
      <w:bookmarkEnd w:id="2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к) основание для исключения из реестра.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6"/>
      <w:bookmarkEnd w:id="2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7. Реестр публикуется в периодических изданиях компетентного органа и размещается на официальном сайте в сети Интернет.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7"/>
      <w:bookmarkEnd w:id="2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II. Процедура аккредитации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8"/>
      <w:bookmarkEnd w:id="2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8. Процедура аккредитации организации состоит из следующих этапов: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9"/>
      <w:bookmarkEnd w:id="26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а) подача заявления на получение (продление) свидетельства об аккредитации (далее - заявление);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30"/>
      <w:bookmarkEnd w:id="27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б) определение способности организации проводить оценку уязвимости объектов;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31"/>
      <w:bookmarkEnd w:id="2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в) принятие решения о выдаче свидетельства об аккредитации организации либо об отказе в его выдаче.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2"/>
      <w:bookmarkEnd w:id="29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9. Для получения свидетельства об аккредитации организация, претендующая на его получение, представляет в компетентный орган следующие документы: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33"/>
      <w:bookmarkEnd w:id="3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а) заявление по форме согласно </w:t>
      </w:r>
      <w:hyperlink r:id="rId8" w:anchor="100087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приложению N 2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4"/>
      <w:bookmarkEnd w:id="3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б) копии учредительных документов (с представлением оригиналов в случае, если верность копий не засвидетельствована в нотариальном порядке);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5"/>
      <w:bookmarkEnd w:id="3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в) выписка из Единого государственного реестра юридических лиц;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6"/>
      <w:bookmarkEnd w:id="3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г) копии лицензий (сертификатов) на виды деятельности, осуществляемые при проведении оценки уязвимости (для организаций, претендующих на проведение </w:t>
      </w: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оценки уязвимости объектов, предусмотренных частью 2 </w:t>
      </w:r>
      <w:hyperlink r:id="rId9" w:anchor="100144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статьи 4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безопасности");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7"/>
      <w:bookmarkEnd w:id="34"/>
      <w:proofErr w:type="spell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) организационно-распорядительные документы организации, регламентирующие обеспечение ограниченного доступа к сведениям о результатах проведенной оценки уязвимости объектов;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106"/>
      <w:bookmarkStart w:id="36" w:name="100038"/>
      <w:bookmarkEnd w:id="35"/>
      <w:bookmarkEnd w:id="36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е) сведения о кадровом составе и документы, подтверждающие профессиональную подготовку специалистов (копии трудовых книжек, документов об образовании и квалификации), а также соответствие кадрового состава требованиям </w:t>
      </w:r>
      <w:hyperlink r:id="rId10" w:anchor="100068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пунктов 1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- </w:t>
      </w:r>
      <w:hyperlink r:id="rId11" w:anchor="100173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7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2" w:anchor="000051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9 части 1 статьи 10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39"/>
      <w:bookmarkEnd w:id="37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ж) копии документов бухгалтерской отчетности за последний завершенный отчетный период;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40"/>
      <w:bookmarkEnd w:id="38"/>
      <w:proofErr w:type="spell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) копии документов, подтверждающих наличие помещений, технических средств и вспомогательного оборудования, предполагаемых к использованию для проведения оценки уязвимости объектов и обеспечивающих ограниченный доступ к сведениям о результатах проведенной оценки уязвимости объектов;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1"/>
      <w:bookmarkEnd w:id="39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и) ранее выданное свидетельство об аккредитации (в случае если имела место выдача);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42"/>
      <w:bookmarkEnd w:id="4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к) заверенная опись представленных документов.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3"/>
      <w:bookmarkEnd w:id="4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10. Определение способности организации проводить оценку уязвимости объектов осуществляется на основе требований, предусматривающих, что организация должна: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4"/>
      <w:bookmarkEnd w:id="4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а) являться юридическим лицом, созданным и функционирующим в соответствии с законодательством Российской Федерации;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5"/>
      <w:bookmarkEnd w:id="4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б) иметь организационно-распорядительные документы, регламентирующие обеспечение ограниченного доступа к сведениям о результатах проведенной оценки уязвимости объектов;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6"/>
      <w:bookmarkEnd w:id="4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в) иметь лицензии (сертификаты) на виды деятельности, осуществляемые при проведении оценки уязвимости объектов (для организаций, претендующих на проведение оценки уязвимости объектов, предусмотренных частью 2 </w:t>
      </w:r>
      <w:hyperlink r:id="rId13" w:anchor="100144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статьи 4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безопасности");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7"/>
      <w:bookmarkEnd w:id="4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г) иметь необходимые помещения, технические средства и вспомогательное оборудование, используемые для проведения оценки уязвимости объектов и обеспечивающие ограниченный доступ к сведениям о результатах проведенной оценки уязвимости объектов;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107"/>
      <w:bookmarkStart w:id="47" w:name="100048"/>
      <w:bookmarkEnd w:id="46"/>
      <w:bookmarkEnd w:id="47"/>
      <w:proofErr w:type="spell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) обеспечить наличие кадрового состава, соответствующего требованиям </w:t>
      </w:r>
      <w:hyperlink r:id="rId14" w:anchor="100068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пунктов 1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- </w:t>
      </w:r>
      <w:hyperlink r:id="rId15" w:anchor="100173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7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6" w:anchor="000051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9 части 1 статьи 10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100049"/>
      <w:bookmarkEnd w:id="4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11. Компетентный орган определяет способность организации проводить оценку уязвимости объектов путем проверки полноты и достоверности сведений об организации, содержащихся в документах, предусмотренных </w:t>
      </w:r>
      <w:hyperlink r:id="rId17" w:anchor="100043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100050"/>
      <w:bookmarkEnd w:id="49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12. При необходимости компетентный орган запрашивает у организации дополнительные документы, а также проводит проверку организации с целью оценки достоверности представленной информации.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100051"/>
      <w:bookmarkEnd w:id="5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13. Компетентный орган принимает решение о выдаче свидетельства об аккредитации либо об отказе в его выдаче и уведомляет организацию о принятом решении в срок, не превышающий 30 дней </w:t>
      </w:r>
      <w:proofErr w:type="gram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с даты принятия</w:t>
      </w:r>
      <w:proofErr w:type="gram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заявления. Указанное решение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052"/>
      <w:bookmarkEnd w:id="5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14. Уведомление о выдаче свидетельства об аккредитации направляется (вручается) организации в письменной форме.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53"/>
      <w:bookmarkEnd w:id="5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Уведомление об отказе в выдаче свидетельства об аккредитации направляется (вручается) организации в письменной форме с указанием причин отказа.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54"/>
      <w:bookmarkEnd w:id="5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15. Основанием для отказа в выдаче свидетельства об аккредитации является: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55"/>
      <w:bookmarkEnd w:id="5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а) несоблюдение организацией требований, предусмотренных </w:t>
      </w:r>
      <w:hyperlink r:id="rId18" w:anchor="100043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56"/>
      <w:bookmarkEnd w:id="5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б) наличие в документах, предусмотренных </w:t>
      </w:r>
      <w:hyperlink r:id="rId19" w:anchor="100032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9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недостоверной информации;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6" w:name="100057"/>
      <w:bookmarkEnd w:id="56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в) непредставление в компетентный орган документов, предусмотренных </w:t>
      </w:r>
      <w:hyperlink r:id="rId20" w:anchor="100032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9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100058"/>
      <w:bookmarkEnd w:id="57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16. Свидетельство об аккредитации выдается на 3 года.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8" w:name="100059"/>
      <w:bookmarkEnd w:id="5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17. При утрате (порче) свидетельства об аккредитации в период его действия специализированная организация имеет право на получение дубликата свидетельства, который предоставляется ей на основании заявления, направляемого в письменной форме в компетентный орган, с указанием обстоятельств, повлекших его утрату (порчу).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9" w:name="100060"/>
      <w:bookmarkEnd w:id="59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Дубликат свидетельства об аккредитации выдается на срок, не превышающий срока действия утраченного (испорченного) свидетельства.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100061"/>
      <w:bookmarkEnd w:id="6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18. Специализированная организация обязана уведомить компетентный орган об изменениях организационной структуры, технического оснащения и иных условиях, влияющих на способность организации отвечать требованиям, предусмотренным </w:t>
      </w:r>
      <w:hyperlink r:id="rId21" w:anchor="100043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и проводить оценку уязвимости объектов, в срок не позднее 15 дней </w:t>
      </w:r>
      <w:proofErr w:type="gram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с даты</w:t>
      </w:r>
      <w:proofErr w:type="gram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таких изменений.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1" w:name="100062"/>
      <w:bookmarkEnd w:id="6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III. Продление срока действия свидетельства об аккредитации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100063"/>
      <w:bookmarkEnd w:id="6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19. Для продления срока действия свидетельства об аккредитации специализированная организация не позднее 30 рабочих дней до истечения срока действия свидетельства об аккредитации должна подать в компетентный орган заявление о его продлении, а также предоставить сведения о проведенных оценках уязвимости объектов.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3" w:name="100064"/>
      <w:bookmarkEnd w:id="6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Свидетельство об аккредитации специализированной организации продлевается на 3 года.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4" w:name="100065"/>
      <w:bookmarkEnd w:id="6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20. Компетентный орган принимает решение о продлении срока действия свидетельства об аккредитации специализированной организации либо об отказе в его продлении и уведомляет специализированную организацию о принятом решении в срок, не превышающий 30 дней </w:t>
      </w:r>
      <w:proofErr w:type="gram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с даты принятия</w:t>
      </w:r>
      <w:proofErr w:type="gram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заявления.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5" w:name="100066"/>
      <w:bookmarkEnd w:id="6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Указанное решение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100103"/>
      <w:bookmarkStart w:id="67" w:name="100067"/>
      <w:bookmarkEnd w:id="66"/>
      <w:bookmarkEnd w:id="67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21. Основанием для продления срока действия свидетельства об аккредитации является проведение специализированной организацией не менее 2 оценок уязвимости объектов, результаты которых были утверждены компетентными органами, в период действия свидетельства об аккредитации.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8" w:name="100068"/>
      <w:bookmarkEnd w:id="6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22. Уведомление о продлении срока действия свидетельства об аккредитации направляется (вручается) специализированной организации в письменной форме.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104"/>
      <w:bookmarkStart w:id="70" w:name="100069"/>
      <w:bookmarkEnd w:id="69"/>
      <w:bookmarkEnd w:id="7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23. Основанием для отказа в продлении срока действия свидетельства об аккредитации является проведение специализированной организацией менее 2 оценок уязвимости объектов, результаты которых были утверждены компетентными органами, в период действия свидетельства об аккредитации либо предоставление специализированной организацией недостоверных сведений о проведенных оценках уязвимости объектов и их утвержденных результатах.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70"/>
      <w:bookmarkEnd w:id="7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24. Уведомление об отказе в продлении срока действия свидетельства об аккредитации направляется (вручается) специализированной организации в письменной форме с указанием причин отказа.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71"/>
      <w:bookmarkEnd w:id="7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25. В случае отказа в продлении срока действия свидетельства об аккредитации специализированная организация проходит процедуру аккредитации в соответствии с </w:t>
      </w:r>
      <w:hyperlink r:id="rId22" w:anchor="100032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пунктами 9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- </w:t>
      </w:r>
      <w:hyperlink r:id="rId23" w:anchor="100058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16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72"/>
      <w:bookmarkEnd w:id="7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IV. Аннулирование свидетельства об аккредитации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73"/>
      <w:bookmarkEnd w:id="7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26. Свидетельство об аккредитации аннулируется компетентным органом в случае, если: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74"/>
      <w:bookmarkEnd w:id="7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а) специализированная организация перестала отвечать требованиям, предусмотренным </w:t>
      </w:r>
      <w:hyperlink r:id="rId24" w:anchor="100043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Правил: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75"/>
      <w:bookmarkEnd w:id="76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б) имело место разглашение сведений о результатах проведенной оценки уязвимости объектов;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76"/>
      <w:bookmarkEnd w:id="77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в) специализированной организацией не выполнены требования </w:t>
      </w:r>
      <w:hyperlink r:id="rId25" w:anchor="100061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пункта 18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77"/>
      <w:bookmarkEnd w:id="7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г) специализированная организация ликвидирована или реорганизована в соответствии с законодательством Российской Федерации;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100078"/>
      <w:bookmarkEnd w:id="79"/>
      <w:proofErr w:type="spell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) действие лицензий (сертификатов) на виды деятельности, осуществляемые специализированной организацией при проведении оценки уязвимости объектов, прекращено;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0" w:name="100079"/>
      <w:bookmarkEnd w:id="80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е) специализированная организация выступила с соответствующей инициативой;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100105"/>
      <w:bookmarkEnd w:id="81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ж) специализированная организация представила результаты оценки уязвимости объекта с недостоверными данными (в том числе вследствие опечаток и ошибок, которые влекут или могут повлечь недостоверность результатов оценки уязвимости объектов).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2" w:name="100080"/>
      <w:bookmarkEnd w:id="82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27. Решение об аннулировании свидетельства об аккредитации специализированной организации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 Указанное решение не </w:t>
      </w: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позднее 3 дней </w:t>
      </w:r>
      <w:proofErr w:type="gramStart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с даты</w:t>
      </w:r>
      <w:proofErr w:type="gramEnd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его принятия доводится до специализированной организации в письменной форме с указанием причин аннулирования свидетельства об аккредитации.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100081"/>
      <w:bookmarkEnd w:id="83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V. Заключительные положения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100082"/>
      <w:bookmarkEnd w:id="84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28. На основании документов, предусмотренных </w:t>
      </w:r>
      <w:hyperlink r:id="rId26" w:anchor="100032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пунктами 9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27" w:anchor="100051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13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28" w:anchor="100052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14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29" w:anchor="100059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17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- </w:t>
      </w:r>
      <w:hyperlink r:id="rId30" w:anchor="100065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20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31" w:anchor="100068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22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32" w:anchor="100070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24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33" w:anchor="100080" w:history="1">
        <w:r w:rsidRPr="00352BA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27</w:t>
        </w:r>
      </w:hyperlink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формируется дело организации или специализированной организации, которое подлежит хранению в порядке, установленном компетентным органом.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5" w:name="100083"/>
      <w:bookmarkEnd w:id="85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Приложение N 1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к Правилам аккредитации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юридических лиц для проведения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оценки уязвимости объектов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транспортной инфраструктуры</w:t>
      </w:r>
    </w:p>
    <w:p w:rsid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и транспортных средств</w:t>
      </w:r>
    </w:p>
    <w:p w:rsidR="00352BA0" w:rsidRPr="00352BA0" w:rsidRDefault="00352BA0" w:rsidP="00352BA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86" w:name="100084"/>
      <w:bookmarkEnd w:id="86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(компетентный орган в области обеспечения транспортной безопасности)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87" w:name="100085"/>
      <w:bookmarkEnd w:id="87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СВИДЕТЕЛЬСТВО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об аккредитации организации на проведение оценки уязвимости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объектов транспортной инфраструктуры и транспортных средств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_______________                               N 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(дата)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(полное наименование организации)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(место нахождения организации)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N 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(номер организации по реестру аккредитованных организаций на проведение</w:t>
      </w:r>
      <w:proofErr w:type="gramEnd"/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оценки уязвимости объектов)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имеет право осуществлять оценку уязвимости объектов транспортной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инфраструктуры и транспортных средств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(область аккредитации)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до 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(дата)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продлено до 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(дата)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Руководитель ____________            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(подпись)                      (расшифровка подписи)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М.П.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8" w:name="100086"/>
      <w:bookmarkEnd w:id="88"/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Приложение N 2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к Правилам аккредитации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юридических лиц для проведения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оценки уязвимости объектов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транспортной инфраструктуры</w:t>
      </w:r>
    </w:p>
    <w:p w:rsidR="00352BA0" w:rsidRPr="00352BA0" w:rsidRDefault="00352BA0" w:rsidP="00352BA0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52BA0">
        <w:rPr>
          <w:rFonts w:eastAsia="Times New Roman" w:cs="Liberation Serif"/>
          <w:bCs w:val="0"/>
          <w:kern w:val="0"/>
          <w:szCs w:val="28"/>
          <w:lang w:eastAsia="ru-RU"/>
        </w:rPr>
        <w:t>и транспортных средств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89" w:name="100087"/>
      <w:bookmarkEnd w:id="89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ЗАЯВЛЕНИЕ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на получение (продление) свидетельства об аккредитации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на проведение оценки уязвимости объектов транспортной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инфраструктуры и транспортных средств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(область аккредитации)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 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</w:t>
      </w:r>
      <w:proofErr w:type="gramStart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(полное наименование компетентного органа в области обеспечения</w:t>
      </w:r>
      <w:proofErr w:type="gramEnd"/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транспортной безопасности)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на выдачу свидетельства об аккредитации 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(полное наименование организации)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0" w:name="100088"/>
      <w:bookmarkEnd w:id="90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1. Сокращенное официальное наименование 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1" w:name="100089"/>
      <w:bookmarkEnd w:id="91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2. Место нахождения 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телефон __________________, телекс, телефакс 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2" w:name="100090"/>
      <w:bookmarkEnd w:id="92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3. Год создания организации 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3" w:name="100091"/>
      <w:bookmarkEnd w:id="93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4. Код организации по ОКПО 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4" w:name="100092"/>
      <w:bookmarkEnd w:id="94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5. </w:t>
      </w:r>
      <w:proofErr w:type="gramStart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Подчиненность органу государственного управления (наименование и код  по</w:t>
      </w:r>
      <w:proofErr w:type="gramEnd"/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hyperlink r:id="rId34" w:history="1">
        <w:proofErr w:type="gramStart"/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ОКОГУ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) ____________________________________________________________________</w:t>
      </w:r>
      <w:proofErr w:type="gramEnd"/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5" w:name="100093"/>
      <w:bookmarkEnd w:id="95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6. Отрасль (наименование и код по </w:t>
      </w:r>
      <w:hyperlink r:id="rId35" w:history="1"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ОКОНХ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) 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6" w:name="100094"/>
      <w:bookmarkEnd w:id="96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7. Территория (наименование и код по СОАТО) 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7" w:name="100095"/>
      <w:bookmarkEnd w:id="97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8. Организационно-правовая форма (наименование и код по </w:t>
      </w:r>
      <w:hyperlink r:id="rId36" w:history="1"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КОПФ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) 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8" w:name="100096"/>
      <w:bookmarkEnd w:id="98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9. Форма собственности (наименование и код по </w:t>
      </w:r>
      <w:hyperlink r:id="rId37" w:anchor="100008" w:history="1"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КФС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) 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99" w:name="100097"/>
      <w:bookmarkEnd w:id="99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10. Основные направления деятельности 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00" w:name="100098"/>
      <w:bookmarkEnd w:id="100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11. В случае принятия решения об  аккредитации  (о продлении  аккредитации)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свидетельство об аккредитации прошу выдать на руки или направить по адресу: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01" w:name="100099"/>
      <w:bookmarkEnd w:id="101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12. Приложение: ___________________________________________________________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02" w:name="100100"/>
      <w:bookmarkEnd w:id="102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Примечания:   1.   </w:t>
      </w:r>
      <w:hyperlink r:id="rId38" w:anchor="100088" w:history="1"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Пункты   1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-   </w:t>
      </w:r>
      <w:hyperlink r:id="rId39" w:anchor="100096" w:history="1"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9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заполняются  в  соответствии  </w:t>
      </w:r>
      <w:proofErr w:type="gramStart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</w:t>
      </w:r>
      <w:proofErr w:type="gramEnd"/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регистрационными     (учредительными)     документами     организации     и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классификационными    кодами,    принятыми    в   системе   государственной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статистической отчетности.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03" w:name="100101"/>
      <w:bookmarkEnd w:id="103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2. В </w:t>
      </w:r>
      <w:hyperlink r:id="rId40" w:anchor="100099" w:history="1">
        <w:r w:rsidRPr="00352BA0">
          <w:rPr>
            <w:rFonts w:eastAsia="Times New Roman" w:cs="Liberation Serif"/>
            <w:bCs w:val="0"/>
            <w:color w:val="0000FF"/>
            <w:kern w:val="0"/>
            <w:sz w:val="20"/>
            <w:szCs w:val="20"/>
            <w:u w:val="single"/>
            <w:lang w:eastAsia="ru-RU"/>
          </w:rPr>
          <w:t>пункте 12</w:t>
        </w:r>
      </w:hyperlink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указываются наименование и количество листов документов,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прилагаемых</w:t>
      </w:r>
      <w:proofErr w:type="gramEnd"/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к заявлению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М.П.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Руководитель _____________________ Главный бухгалтер 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(подпись)                              (подпись)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_____________________                   ______________________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(расшифровка подписи)                   (расшифровка подписи)</w:t>
      </w: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352BA0" w:rsidRPr="00352BA0" w:rsidRDefault="00352BA0" w:rsidP="0035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352BA0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AD6881" w:rsidRPr="00352BA0" w:rsidRDefault="005046A1" w:rsidP="00352BA0">
      <w:pPr>
        <w:jc w:val="both"/>
        <w:rPr>
          <w:rFonts w:cs="Liberation Serif"/>
        </w:rPr>
      </w:pPr>
    </w:p>
    <w:sectPr w:rsidR="00AD6881" w:rsidRPr="00352BA0" w:rsidSect="000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A0"/>
    <w:rsid w:val="000914B7"/>
    <w:rsid w:val="000D7150"/>
    <w:rsid w:val="00352BA0"/>
    <w:rsid w:val="0042794E"/>
    <w:rsid w:val="005046A1"/>
    <w:rsid w:val="006D77E3"/>
    <w:rsid w:val="007E6163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35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BA0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BA0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352BA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352BA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BA0"/>
    <w:rPr>
      <w:color w:val="0000FF"/>
      <w:u w:val="single"/>
    </w:rPr>
  </w:style>
  <w:style w:type="paragraph" w:customStyle="1" w:styleId="pright">
    <w:name w:val="pright"/>
    <w:basedOn w:val="a"/>
    <w:rsid w:val="00352BA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31032009-n-289/" TargetMode="External"/><Relationship Id="rId13" Type="http://schemas.openxmlformats.org/officeDocument/2006/relationships/hyperlink" Target="http://legalacts.ru/doc/federalnyi-zakon-ot-09022007-n-16-fz-o/" TargetMode="External"/><Relationship Id="rId18" Type="http://schemas.openxmlformats.org/officeDocument/2006/relationships/hyperlink" Target="http://legalacts.ru/doc/postanovlenie-pravitelstva-rf-ot-31032009-n-289/" TargetMode="External"/><Relationship Id="rId26" Type="http://schemas.openxmlformats.org/officeDocument/2006/relationships/hyperlink" Target="http://legalacts.ru/doc/postanovlenie-pravitelstva-rf-ot-31032009-n-289/" TargetMode="External"/><Relationship Id="rId39" Type="http://schemas.openxmlformats.org/officeDocument/2006/relationships/hyperlink" Target="http://legalacts.ru/doc/postanovlenie-pravitelstva-rf-ot-31032009-n-28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31032009-n-289/" TargetMode="External"/><Relationship Id="rId34" Type="http://schemas.openxmlformats.org/officeDocument/2006/relationships/hyperlink" Target="http://legalacts.ru/doc/ok-006-2011-obshcherossiiskii-klassifikator-organov-gosudarstvennoi-vlast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postanovlenie-pravitelstva-rf-ot-31032009-n-289/" TargetMode="External"/><Relationship Id="rId12" Type="http://schemas.openxmlformats.org/officeDocument/2006/relationships/hyperlink" Target="http://legalacts.ru/doc/federalnyi-zakon-ot-09022007-n-16-fz-o/" TargetMode="External"/><Relationship Id="rId17" Type="http://schemas.openxmlformats.org/officeDocument/2006/relationships/hyperlink" Target="http://legalacts.ru/doc/postanovlenie-pravitelstva-rf-ot-31032009-n-289/" TargetMode="External"/><Relationship Id="rId25" Type="http://schemas.openxmlformats.org/officeDocument/2006/relationships/hyperlink" Target="http://legalacts.ru/doc/postanovlenie-pravitelstva-rf-ot-31032009-n-289/" TargetMode="External"/><Relationship Id="rId33" Type="http://schemas.openxmlformats.org/officeDocument/2006/relationships/hyperlink" Target="http://legalacts.ru/doc/postanovlenie-pravitelstva-rf-ot-31032009-n-289/" TargetMode="External"/><Relationship Id="rId38" Type="http://schemas.openxmlformats.org/officeDocument/2006/relationships/hyperlink" Target="http://legalacts.ru/doc/postanovlenie-pravitelstva-rf-ot-31032009-n-2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09022007-n-16-fz-o/" TargetMode="External"/><Relationship Id="rId20" Type="http://schemas.openxmlformats.org/officeDocument/2006/relationships/hyperlink" Target="http://legalacts.ru/doc/postanovlenie-pravitelstva-rf-ot-31032009-n-289/" TargetMode="External"/><Relationship Id="rId29" Type="http://schemas.openxmlformats.org/officeDocument/2006/relationships/hyperlink" Target="http://legalacts.ru/doc/postanovlenie-pravitelstva-rf-ot-31032009-n-289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9022007-n-16-fz-o/" TargetMode="External"/><Relationship Id="rId11" Type="http://schemas.openxmlformats.org/officeDocument/2006/relationships/hyperlink" Target="http://legalacts.ru/doc/federalnyi-zakon-ot-09022007-n-16-fz-o/" TargetMode="External"/><Relationship Id="rId24" Type="http://schemas.openxmlformats.org/officeDocument/2006/relationships/hyperlink" Target="http://legalacts.ru/doc/postanovlenie-pravitelstva-rf-ot-31032009-n-289/" TargetMode="External"/><Relationship Id="rId32" Type="http://schemas.openxmlformats.org/officeDocument/2006/relationships/hyperlink" Target="http://legalacts.ru/doc/postanovlenie-pravitelstva-rf-ot-31032009-n-289/" TargetMode="External"/><Relationship Id="rId37" Type="http://schemas.openxmlformats.org/officeDocument/2006/relationships/hyperlink" Target="http://legalacts.ru/doc/postanovlenie-gosstandarta-rf-ot-30031999-n-97/" TargetMode="External"/><Relationship Id="rId40" Type="http://schemas.openxmlformats.org/officeDocument/2006/relationships/hyperlink" Target="http://legalacts.ru/doc/postanovlenie-pravitelstva-rf-ot-31032009-n-289/" TargetMode="External"/><Relationship Id="rId5" Type="http://schemas.openxmlformats.org/officeDocument/2006/relationships/hyperlink" Target="http://legalacts.ru/doc/postanovlenie-pravitelstva-rf-ot-31032009-n-289/" TargetMode="External"/><Relationship Id="rId15" Type="http://schemas.openxmlformats.org/officeDocument/2006/relationships/hyperlink" Target="http://legalacts.ru/doc/federalnyi-zakon-ot-09022007-n-16-fz-o/" TargetMode="External"/><Relationship Id="rId23" Type="http://schemas.openxmlformats.org/officeDocument/2006/relationships/hyperlink" Target="http://legalacts.ru/doc/postanovlenie-pravitelstva-rf-ot-31032009-n-289/" TargetMode="External"/><Relationship Id="rId28" Type="http://schemas.openxmlformats.org/officeDocument/2006/relationships/hyperlink" Target="http://legalacts.ru/doc/postanovlenie-pravitelstva-rf-ot-31032009-n-289/" TargetMode="External"/><Relationship Id="rId36" Type="http://schemas.openxmlformats.org/officeDocument/2006/relationships/hyperlink" Target="http://legalacts.ru/doc/ok-028-2012-obshcherossiiskii-klassifikator-organizatsionno-pravovykh-form-utv/" TargetMode="External"/><Relationship Id="rId10" Type="http://schemas.openxmlformats.org/officeDocument/2006/relationships/hyperlink" Target="http://legalacts.ru/doc/federalnyi-zakon-ot-09022007-n-16-fz-o/" TargetMode="External"/><Relationship Id="rId19" Type="http://schemas.openxmlformats.org/officeDocument/2006/relationships/hyperlink" Target="http://legalacts.ru/doc/postanovlenie-pravitelstva-rf-ot-31032009-n-289/" TargetMode="External"/><Relationship Id="rId31" Type="http://schemas.openxmlformats.org/officeDocument/2006/relationships/hyperlink" Target="http://legalacts.ru/doc/postanovlenie-pravitelstva-rf-ot-31032009-n-289/" TargetMode="External"/><Relationship Id="rId4" Type="http://schemas.openxmlformats.org/officeDocument/2006/relationships/hyperlink" Target="http://legalacts.ru/doc/federalnyi-zakon-ot-09022007-n-16-fz-o/" TargetMode="External"/><Relationship Id="rId9" Type="http://schemas.openxmlformats.org/officeDocument/2006/relationships/hyperlink" Target="http://legalacts.ru/doc/federalnyi-zakon-ot-09022007-n-16-fz-o/" TargetMode="External"/><Relationship Id="rId14" Type="http://schemas.openxmlformats.org/officeDocument/2006/relationships/hyperlink" Target="http://legalacts.ru/doc/federalnyi-zakon-ot-09022007-n-16-fz-o/" TargetMode="External"/><Relationship Id="rId22" Type="http://schemas.openxmlformats.org/officeDocument/2006/relationships/hyperlink" Target="http://legalacts.ru/doc/postanovlenie-pravitelstva-rf-ot-31032009-n-289/" TargetMode="External"/><Relationship Id="rId27" Type="http://schemas.openxmlformats.org/officeDocument/2006/relationships/hyperlink" Target="http://legalacts.ru/doc/postanovlenie-pravitelstva-rf-ot-31032009-n-289/" TargetMode="External"/><Relationship Id="rId30" Type="http://schemas.openxmlformats.org/officeDocument/2006/relationships/hyperlink" Target="http://legalacts.ru/doc/postanovlenie-pravitelstva-rf-ot-31032009-n-289/" TargetMode="External"/><Relationship Id="rId35" Type="http://schemas.openxmlformats.org/officeDocument/2006/relationships/hyperlink" Target="http://legalacts.ru/doc/obshchesoiuznyi-klassifikator-otrasli-narodnogo-khozjaistva-okonkh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3059</Words>
  <Characters>17440</Characters>
  <Application>Microsoft Office Word</Application>
  <DocSecurity>0</DocSecurity>
  <Lines>145</Lines>
  <Paragraphs>40</Paragraphs>
  <ScaleCrop>false</ScaleCrop>
  <Company/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2019-04-11T05:31:00Z</dcterms:created>
  <dcterms:modified xsi:type="dcterms:W3CDTF">2019-04-11T05:35:00Z</dcterms:modified>
</cp:coreProperties>
</file>